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A29A1" w14:textId="44BA58C5" w:rsidR="00F618ED" w:rsidRPr="00446F9D" w:rsidRDefault="00F618ED" w:rsidP="00F618ED">
      <w:pPr>
        <w:pStyle w:val="Header"/>
        <w:tabs>
          <w:tab w:val="clear" w:pos="4536"/>
        </w:tabs>
        <w:rPr>
          <w:i/>
        </w:rPr>
      </w:pPr>
      <w:r w:rsidRPr="00446F9D">
        <w:t>TSG-RAN WG1 #</w:t>
      </w:r>
      <w:r>
        <w:t>87</w:t>
      </w:r>
      <w:r w:rsidRPr="00446F9D">
        <w:tab/>
      </w:r>
      <w:r w:rsidRPr="00363390">
        <w:t>R1-16</w:t>
      </w:r>
      <w:r w:rsidR="003764A0">
        <w:t>12920</w:t>
      </w:r>
    </w:p>
    <w:p w14:paraId="296BD30A" w14:textId="77777777" w:rsidR="00F618ED" w:rsidRPr="000833FA" w:rsidRDefault="00F618ED" w:rsidP="00F618ED">
      <w:pPr>
        <w:pStyle w:val="Header"/>
        <w:rPr>
          <w:color w:val="000000"/>
        </w:rPr>
      </w:pPr>
      <w:r>
        <w:t>Reno, NV, USA, November 14 – 18, 2016</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3D66D996" w:rsidR="00F618ED" w:rsidRPr="00E220C0" w:rsidRDefault="00F618ED" w:rsidP="00F618ED">
      <w:pPr>
        <w:pStyle w:val="Header"/>
        <w:tabs>
          <w:tab w:val="clear" w:pos="4536"/>
          <w:tab w:val="left" w:pos="1800"/>
        </w:tabs>
      </w:pPr>
      <w:r w:rsidRPr="0003368D">
        <w:t>Title:</w:t>
      </w:r>
      <w:bookmarkStart w:id="0" w:name="Title"/>
      <w:bookmarkEnd w:id="0"/>
      <w:r w:rsidRPr="0003368D">
        <w:tab/>
      </w:r>
      <w:r w:rsidR="00A057EA" w:rsidRPr="00A057EA">
        <w:t xml:space="preserve">On </w:t>
      </w:r>
      <w:r w:rsidR="006D0BDF">
        <w:t>multiplexing of short UCI and data</w:t>
      </w:r>
    </w:p>
    <w:p w14:paraId="0DB675C4" w14:textId="3DF99030" w:rsidR="00F618ED" w:rsidRPr="00E220C0" w:rsidRDefault="00F618ED" w:rsidP="00F618ED">
      <w:pPr>
        <w:pStyle w:val="Header"/>
        <w:tabs>
          <w:tab w:val="left" w:pos="1800"/>
        </w:tabs>
      </w:pPr>
      <w:r w:rsidRPr="00E220C0">
        <w:t>Agenda Item:</w:t>
      </w:r>
      <w:bookmarkStart w:id="1" w:name="Source"/>
      <w:bookmarkEnd w:id="1"/>
      <w:r w:rsidRPr="00E220C0">
        <w:tab/>
      </w:r>
      <w:r w:rsidR="0049799A">
        <w:t>7.1.</w:t>
      </w:r>
      <w:r w:rsidR="001B243C">
        <w:t>4.</w:t>
      </w:r>
      <w:r w:rsidR="00401FC3">
        <w:t>2</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50CA01C4" w:rsidR="00F618ED" w:rsidRDefault="00F618ED" w:rsidP="00F618ED">
      <w:pPr>
        <w:pStyle w:val="Heading1"/>
        <w:spacing w:before="180"/>
        <w:ind w:left="562" w:hanging="562"/>
      </w:pPr>
      <w:r>
        <w:t>Introduction</w:t>
      </w:r>
    </w:p>
    <w:p w14:paraId="6AC1F293" w14:textId="58BFAC6E" w:rsidR="00A057EA" w:rsidRDefault="0022072F" w:rsidP="00401FC3">
      <w:pPr>
        <w:pStyle w:val="BodyText"/>
      </w:pPr>
      <w:r>
        <w:t xml:space="preserve">At RAN1#86bis, </w:t>
      </w:r>
      <w:r w:rsidR="00401FC3">
        <w:t>the following was agreed:</w:t>
      </w:r>
    </w:p>
    <w:p w14:paraId="0B676290" w14:textId="77777777" w:rsidR="00401FC3" w:rsidRPr="005936EF" w:rsidRDefault="00401FC3" w:rsidP="00401FC3">
      <w:pPr>
        <w:numPr>
          <w:ilvl w:val="0"/>
          <w:numId w:val="27"/>
        </w:numPr>
        <w:rPr>
          <w:rFonts w:eastAsia="MS Mincho"/>
          <w:lang w:eastAsia="ja-JP"/>
        </w:rPr>
      </w:pPr>
      <w:r w:rsidRPr="005936EF">
        <w:rPr>
          <w:rFonts w:eastAsia="MS Mincho"/>
          <w:lang w:eastAsia="ja-JP"/>
        </w:rPr>
        <w:t>At least two ways of transmissions are supported for NR UL control channel</w:t>
      </w:r>
    </w:p>
    <w:p w14:paraId="183CF832" w14:textId="77777777" w:rsidR="00401FC3" w:rsidRPr="005936EF" w:rsidRDefault="00401FC3" w:rsidP="00401FC3">
      <w:pPr>
        <w:numPr>
          <w:ilvl w:val="1"/>
          <w:numId w:val="27"/>
        </w:numPr>
        <w:rPr>
          <w:rFonts w:eastAsia="MS Mincho"/>
          <w:lang w:eastAsia="ja-JP"/>
        </w:rPr>
      </w:pPr>
      <w:r w:rsidRPr="005936EF">
        <w:rPr>
          <w:rFonts w:eastAsia="MS Mincho"/>
          <w:lang w:eastAsia="ja-JP"/>
        </w:rPr>
        <w:t>UL control channel can be transmitted in short duration</w:t>
      </w:r>
    </w:p>
    <w:p w14:paraId="760A4D62" w14:textId="77777777" w:rsidR="00401FC3" w:rsidRDefault="00401FC3" w:rsidP="00401FC3">
      <w:pPr>
        <w:numPr>
          <w:ilvl w:val="2"/>
          <w:numId w:val="27"/>
        </w:numPr>
        <w:rPr>
          <w:rFonts w:eastAsia="MS Mincho"/>
          <w:lang w:eastAsia="ja-JP"/>
        </w:rPr>
      </w:pPr>
      <w:r w:rsidRPr="005936EF">
        <w:rPr>
          <w:rFonts w:eastAsia="MS Mincho"/>
          <w:lang w:eastAsia="ja-JP"/>
        </w:rPr>
        <w:t xml:space="preserve">around the last </w:t>
      </w:r>
      <w:r>
        <w:rPr>
          <w:rFonts w:eastAsia="MS Mincho" w:hint="eastAsia"/>
          <w:lang w:eastAsia="ja-JP"/>
        </w:rPr>
        <w:t xml:space="preserve">transmitted </w:t>
      </w:r>
      <w:r w:rsidRPr="005936EF">
        <w:rPr>
          <w:rFonts w:eastAsia="MS Mincho"/>
          <w:lang w:eastAsia="ja-JP"/>
        </w:rPr>
        <w:t>UL symbol(s) of a slot</w:t>
      </w:r>
    </w:p>
    <w:p w14:paraId="0447A3CA" w14:textId="77777777" w:rsidR="00401FC3" w:rsidRPr="005936EF" w:rsidRDefault="00401FC3" w:rsidP="00401FC3">
      <w:pPr>
        <w:numPr>
          <w:ilvl w:val="3"/>
          <w:numId w:val="27"/>
        </w:numPr>
        <w:rPr>
          <w:rFonts w:eastAsia="MS Mincho"/>
          <w:lang w:eastAsia="ja-JP"/>
        </w:rPr>
      </w:pPr>
      <w:r>
        <w:rPr>
          <w:rFonts w:eastAsia="MS Mincho" w:hint="eastAsia"/>
          <w:lang w:eastAsia="ja-JP"/>
        </w:rPr>
        <w:t>FFS: How to define and treat the potential gap at the end of the slot</w:t>
      </w:r>
    </w:p>
    <w:p w14:paraId="4B63212C" w14:textId="77777777" w:rsidR="00401FC3" w:rsidRPr="005936EF" w:rsidRDefault="00401FC3" w:rsidP="00401FC3">
      <w:pPr>
        <w:numPr>
          <w:ilvl w:val="2"/>
          <w:numId w:val="27"/>
        </w:numPr>
        <w:rPr>
          <w:rFonts w:eastAsia="MS Mincho"/>
          <w:lang w:eastAsia="ja-JP"/>
        </w:rPr>
      </w:pPr>
      <w:r w:rsidRPr="005936EF">
        <w:rPr>
          <w:rFonts w:eastAsia="MS Mincho"/>
          <w:lang w:eastAsia="ja-JP"/>
        </w:rPr>
        <w:t>FFS: in the other positions, e.g., the first UL symbol(s) of a slot</w:t>
      </w:r>
    </w:p>
    <w:p w14:paraId="34FC75F1" w14:textId="77777777" w:rsidR="00401FC3" w:rsidRPr="005936EF" w:rsidRDefault="00401FC3" w:rsidP="00401FC3">
      <w:pPr>
        <w:numPr>
          <w:ilvl w:val="2"/>
          <w:numId w:val="27"/>
        </w:numPr>
        <w:rPr>
          <w:rFonts w:eastAsia="MS Mincho"/>
          <w:lang w:eastAsia="ja-JP"/>
        </w:rPr>
      </w:pPr>
      <w:proofErr w:type="spellStart"/>
      <w:r w:rsidRPr="005936EF">
        <w:rPr>
          <w:rFonts w:eastAsia="MS Mincho"/>
          <w:lang w:eastAsia="ja-JP"/>
        </w:rPr>
        <w:t>TDMed</w:t>
      </w:r>
      <w:proofErr w:type="spellEnd"/>
      <w:r w:rsidRPr="005936EF">
        <w:rPr>
          <w:rFonts w:eastAsia="MS Mincho"/>
          <w:lang w:eastAsia="ja-JP"/>
        </w:rPr>
        <w:t xml:space="preserve"> and/or </w:t>
      </w:r>
      <w:proofErr w:type="spellStart"/>
      <w:r w:rsidRPr="005936EF">
        <w:rPr>
          <w:rFonts w:eastAsia="MS Mincho"/>
          <w:lang w:eastAsia="ja-JP"/>
        </w:rPr>
        <w:t>FDMed</w:t>
      </w:r>
      <w:proofErr w:type="spellEnd"/>
      <w:r w:rsidRPr="005936EF">
        <w:rPr>
          <w:rFonts w:eastAsia="MS Mincho"/>
          <w:lang w:eastAsia="ja-JP"/>
        </w:rPr>
        <w:t xml:space="preserve"> with UL data channel within a slot</w:t>
      </w:r>
    </w:p>
    <w:p w14:paraId="54457A0A" w14:textId="77777777" w:rsidR="00401FC3" w:rsidRPr="005936EF" w:rsidRDefault="00401FC3" w:rsidP="00401FC3">
      <w:pPr>
        <w:numPr>
          <w:ilvl w:val="1"/>
          <w:numId w:val="27"/>
        </w:numPr>
        <w:rPr>
          <w:rFonts w:eastAsia="MS Mincho"/>
          <w:lang w:eastAsia="ja-JP"/>
        </w:rPr>
      </w:pPr>
      <w:r w:rsidRPr="005936EF">
        <w:rPr>
          <w:rFonts w:eastAsia="MS Mincho"/>
          <w:lang w:eastAsia="ja-JP"/>
        </w:rPr>
        <w:t>UL control channel can be transmitted in long duration</w:t>
      </w:r>
    </w:p>
    <w:p w14:paraId="0867A329" w14:textId="77777777" w:rsidR="00401FC3" w:rsidRPr="005936EF" w:rsidRDefault="00401FC3" w:rsidP="00401FC3">
      <w:pPr>
        <w:numPr>
          <w:ilvl w:val="2"/>
          <w:numId w:val="27"/>
        </w:numPr>
        <w:rPr>
          <w:rFonts w:eastAsia="MS Mincho"/>
          <w:lang w:eastAsia="ja-JP"/>
        </w:rPr>
      </w:pPr>
      <w:r w:rsidRPr="005936EF">
        <w:rPr>
          <w:rFonts w:eastAsia="MS Mincho"/>
          <w:lang w:eastAsia="ja-JP"/>
        </w:rPr>
        <w:t>over multiple UL symbols to improve coverage</w:t>
      </w:r>
    </w:p>
    <w:p w14:paraId="0AEB00FD" w14:textId="77777777" w:rsidR="00401FC3" w:rsidRPr="005936EF" w:rsidRDefault="00401FC3" w:rsidP="00401FC3">
      <w:pPr>
        <w:numPr>
          <w:ilvl w:val="2"/>
          <w:numId w:val="27"/>
        </w:numPr>
        <w:rPr>
          <w:rFonts w:eastAsia="MS Mincho"/>
          <w:lang w:eastAsia="ja-JP"/>
        </w:rPr>
      </w:pPr>
      <w:proofErr w:type="spellStart"/>
      <w:r w:rsidRPr="005936EF">
        <w:rPr>
          <w:rFonts w:eastAsia="MS Mincho"/>
          <w:lang w:eastAsia="ja-JP"/>
        </w:rPr>
        <w:t>FDMed</w:t>
      </w:r>
      <w:proofErr w:type="spellEnd"/>
      <w:r w:rsidRPr="005936EF">
        <w:rPr>
          <w:rFonts w:eastAsia="MS Mincho"/>
          <w:lang w:eastAsia="ja-JP"/>
        </w:rPr>
        <w:t xml:space="preserve"> with UL data channel within a slot</w:t>
      </w:r>
    </w:p>
    <w:p w14:paraId="74919A03" w14:textId="77777777" w:rsidR="00401FC3" w:rsidRPr="005936EF" w:rsidRDefault="00401FC3" w:rsidP="00401FC3">
      <w:pPr>
        <w:numPr>
          <w:ilvl w:val="1"/>
          <w:numId w:val="27"/>
        </w:numPr>
        <w:rPr>
          <w:rFonts w:eastAsia="MS Mincho"/>
          <w:lang w:eastAsia="ja-JP"/>
        </w:rPr>
      </w:pPr>
      <w:r w:rsidRPr="005936EF">
        <w:rPr>
          <w:rFonts w:eastAsia="MS Mincho"/>
          <w:lang w:eastAsia="ja-JP"/>
        </w:rPr>
        <w:t>FFS how to multiplex with SRS</w:t>
      </w:r>
    </w:p>
    <w:p w14:paraId="10CE5676" w14:textId="77777777" w:rsidR="00401FC3" w:rsidRPr="005936EF" w:rsidRDefault="00401FC3" w:rsidP="00401FC3">
      <w:pPr>
        <w:numPr>
          <w:ilvl w:val="1"/>
          <w:numId w:val="27"/>
        </w:numPr>
        <w:rPr>
          <w:rFonts w:eastAsia="MS Mincho"/>
          <w:lang w:eastAsia="ja-JP"/>
        </w:rPr>
      </w:pPr>
      <w:r w:rsidRPr="005936EF">
        <w:rPr>
          <w:rFonts w:eastAsia="MS Mincho"/>
          <w:lang w:eastAsia="ja-JP"/>
        </w:rPr>
        <w:t>The frequency resource and hopping, if hopping is used, may not spread over the carrier bandwidth</w:t>
      </w:r>
    </w:p>
    <w:p w14:paraId="0B3BACF8" w14:textId="77777777" w:rsidR="00401FC3" w:rsidRDefault="00401FC3" w:rsidP="00401FC3">
      <w:pPr>
        <w:pStyle w:val="BodyText"/>
      </w:pPr>
    </w:p>
    <w:p w14:paraId="307F088B" w14:textId="4D949EF7" w:rsidR="00A057EA" w:rsidRPr="0022072F" w:rsidRDefault="00A057EA" w:rsidP="0022072F">
      <w:pPr>
        <w:pStyle w:val="BodyText"/>
      </w:pPr>
      <w:r>
        <w:t>In this contribution</w:t>
      </w:r>
      <w:r w:rsidR="00401FC3">
        <w:t xml:space="preserve"> the short UCI and multiplexing with uplink data is discussed.</w:t>
      </w:r>
    </w:p>
    <w:p w14:paraId="635F5223" w14:textId="2CE3BF51" w:rsidR="004B1C8B" w:rsidRDefault="00230310" w:rsidP="00230310">
      <w:pPr>
        <w:pStyle w:val="Heading1"/>
        <w:spacing w:before="180"/>
        <w:ind w:left="562" w:hanging="562"/>
      </w:pPr>
      <w:r>
        <w:t>Discussion</w:t>
      </w:r>
    </w:p>
    <w:p w14:paraId="54AE1210" w14:textId="4296FED9" w:rsidR="006D0BDF" w:rsidRDefault="006D0BDF" w:rsidP="006D0BDF">
      <w:pPr>
        <w:pStyle w:val="BodyText"/>
      </w:pPr>
      <w:r>
        <w:t>‘Immediate’ hybrid-ARQ acknowledgements</w:t>
      </w:r>
      <w:r w:rsidR="00952189">
        <w:t>, where the ACK is transmitted in the uplink</w:t>
      </w:r>
      <w:r w:rsidR="00952189" w:rsidRPr="00245F54">
        <w:t xml:space="preserve"> </w:t>
      </w:r>
      <w:r w:rsidR="00952189">
        <w:t>directly after the end of the downlink transmission and in the ‘same slot’ as the downlink data,</w:t>
      </w:r>
      <w:r>
        <w:t xml:space="preserve"> are beneficial for latency reasons as well as for operation in unlicensed spectrum (if the acknowledgement comes ‘immediately’ after reception of downlink data there is no need for a separate listen-before-talk operation for the uplink control </w:t>
      </w:r>
      <w:r w:rsidR="00116505">
        <w:t>signaling</w:t>
      </w:r>
      <w:r>
        <w:t xml:space="preserve">). This implies that transmission of short UCI (including the hybrid-ARQ acknowledgement) </w:t>
      </w:r>
      <w:r w:rsidR="00116505">
        <w:t>should</w:t>
      </w:r>
      <w:r>
        <w:t xml:space="preserve"> </w:t>
      </w:r>
      <w:proofErr w:type="gramStart"/>
      <w:r>
        <w:t>be located in</w:t>
      </w:r>
      <w:proofErr w:type="gramEnd"/>
      <w:r>
        <w:t xml:space="preserve"> the last OFDM symbol of a slot (</w:t>
      </w:r>
      <w:r w:rsidR="009F2364">
        <w:fldChar w:fldCharType="begin"/>
      </w:r>
      <w:r w:rsidR="009F2364">
        <w:instrText xml:space="preserve"> REF _Ref465865370 \h </w:instrText>
      </w:r>
      <w:r w:rsidR="009F2364">
        <w:fldChar w:fldCharType="separate"/>
      </w:r>
      <w:r w:rsidR="009F2364">
        <w:t xml:space="preserve">Figure </w:t>
      </w:r>
      <w:r w:rsidR="009F2364">
        <w:rPr>
          <w:noProof/>
        </w:rPr>
        <w:t>1</w:t>
      </w:r>
      <w:r w:rsidR="009F2364">
        <w:fldChar w:fldCharType="end"/>
      </w:r>
      <w:r>
        <w:t xml:space="preserve">). </w:t>
      </w:r>
    </w:p>
    <w:p w14:paraId="382F4F55" w14:textId="51302DBB" w:rsidR="006D0BDF" w:rsidRDefault="006D0BDF" w:rsidP="006D0BDF">
      <w:pPr>
        <w:pStyle w:val="BodyText"/>
      </w:pPr>
      <w:r>
        <w:t xml:space="preserve">In the frequency domain, the short UCI should be located in a configurable ‘UCI </w:t>
      </w:r>
      <w:r w:rsidR="00066477">
        <w:t>region</w:t>
      </w:r>
      <w:r>
        <w:t xml:space="preserve">’ of (possibly non-contiguous) resource blocks. </w:t>
      </w:r>
      <w:r w:rsidR="00116505">
        <w:t>Multiple</w:t>
      </w:r>
      <w:r w:rsidR="00066477">
        <w:t xml:space="preserve"> UEs may share </w:t>
      </w:r>
      <w:r w:rsidR="00116505">
        <w:t>resources</w:t>
      </w:r>
      <w:r w:rsidR="00066477">
        <w:t xml:space="preserve"> in a UCI region.</w:t>
      </w:r>
      <w:r w:rsidR="00952189">
        <w:t xml:space="preserve"> </w:t>
      </w:r>
    </w:p>
    <w:p w14:paraId="03C2A254" w14:textId="2F40997F" w:rsidR="009F2364" w:rsidRDefault="00116505" w:rsidP="006D0BDF">
      <w:pPr>
        <w:pStyle w:val="BodyText"/>
      </w:pPr>
      <w:r>
        <w:t>Since</w:t>
      </w:r>
      <w:r w:rsidR="006D0BDF">
        <w:t xml:space="preserve"> a ‘UCI </w:t>
      </w:r>
      <w:r w:rsidR="00066477">
        <w:t>region</w:t>
      </w:r>
      <w:r w:rsidR="006D0BDF">
        <w:t xml:space="preserve">’ is unlikely to occupy the full bandwidth it is preferable to be able to transmit uplink data in the last OFDM symbol of a slot, </w:t>
      </w:r>
      <w:proofErr w:type="spellStart"/>
      <w:proofErr w:type="gramStart"/>
      <w:r w:rsidR="006D0BDF">
        <w:t>FDM:ed</w:t>
      </w:r>
      <w:proofErr w:type="spellEnd"/>
      <w:proofErr w:type="gramEnd"/>
      <w:r w:rsidR="006D0BDF">
        <w:t xml:space="preserve"> with UCI as shown in </w:t>
      </w:r>
      <w:r w:rsidR="005B07BD">
        <w:fldChar w:fldCharType="begin"/>
      </w:r>
      <w:r w:rsidR="005B07BD">
        <w:instrText xml:space="preserve"> REF _Ref465865370 \h </w:instrText>
      </w:r>
      <w:r w:rsidR="005B07BD">
        <w:fldChar w:fldCharType="separate"/>
      </w:r>
      <w:r w:rsidR="005B07BD">
        <w:t xml:space="preserve">Figure </w:t>
      </w:r>
      <w:r w:rsidR="005B07BD">
        <w:rPr>
          <w:noProof/>
        </w:rPr>
        <w:t>1</w:t>
      </w:r>
      <w:r w:rsidR="005B07BD">
        <w:fldChar w:fldCharType="end"/>
      </w:r>
      <w:r w:rsidR="006D0BDF">
        <w:t>.</w:t>
      </w:r>
      <w:r w:rsidR="00712A5D">
        <w:t xml:space="preserve"> The data can be either from the same UE as transmitted the UC</w:t>
      </w:r>
      <w:r w:rsidR="0009128F">
        <w:t>I (FDM is ok as there is no need to optimize the ‘</w:t>
      </w:r>
      <w:r w:rsidR="00952189">
        <w:t>immediate</w:t>
      </w:r>
      <w:r w:rsidR="0009128F">
        <w:t>’ ACK for DFT-precoded uplink transmission)</w:t>
      </w:r>
      <w:r w:rsidR="00712A5D">
        <w:t xml:space="preserve"> or a different UE.</w:t>
      </w:r>
      <w:r w:rsidR="006D0BDF">
        <w:t xml:space="preserve"> </w:t>
      </w:r>
      <w:commentRangeStart w:id="3"/>
      <w:r w:rsidR="006D0BDF">
        <w:t>The uplink resources in the last OFDM symbol can be treated and scheduled as ‘normal’ uplink transmissions spanning multiple OFDM symbols</w:t>
      </w:r>
      <w:commentRangeEnd w:id="3"/>
      <w:r w:rsidR="00D77F56">
        <w:rPr>
          <w:rStyle w:val="CommentReference"/>
          <w:rFonts w:eastAsia="Times New Roman"/>
        </w:rPr>
        <w:commentReference w:id="3"/>
      </w:r>
      <w:r w:rsidR="006D0BDF">
        <w:t xml:space="preserve">, possibly with some limitations in advanced multi-antenna techniques, supported transport-block sizes </w:t>
      </w:r>
      <w:proofErr w:type="spellStart"/>
      <w:r w:rsidR="006D0BDF">
        <w:t>etc</w:t>
      </w:r>
      <w:proofErr w:type="spellEnd"/>
      <w:r w:rsidR="006D0BDF">
        <w:t xml:space="preserve"> to reduce the corresponding DCI size. In case of an ‘uplink-heavy’ slot with UCI in the last OFDM symbol, the uplink data in the last symbol can be scheduled using the same scheduling grant as for the rest of the uplink transmission</w:t>
      </w:r>
      <w:r w:rsidR="00952189">
        <w:t xml:space="preserve"> from which the UE removes the ‘UCI region’</w:t>
      </w:r>
      <w:r w:rsidR="005B2815">
        <w:t xml:space="preserve"> or by a separate grant</w:t>
      </w:r>
      <w:r w:rsidR="006D0BDF">
        <w:t>.</w:t>
      </w:r>
    </w:p>
    <w:p w14:paraId="124E6622" w14:textId="51C41F98" w:rsidR="009F2364" w:rsidRDefault="009F2364" w:rsidP="009F2364">
      <w:pPr>
        <w:pStyle w:val="BodyText"/>
        <w:keepNext/>
      </w:pPr>
      <w:r w:rsidRPr="009F2364">
        <w:rPr>
          <w:noProof/>
        </w:rPr>
        <w:lastRenderedPageBreak/>
        <w:drawing>
          <wp:inline distT="0" distB="0" distL="0" distR="0" wp14:anchorId="11017889" wp14:editId="74E2C403">
            <wp:extent cx="5643086" cy="1943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2409" cy="2042724"/>
                    </a:xfrm>
                    <a:prstGeom prst="rect">
                      <a:avLst/>
                    </a:prstGeom>
                    <a:noFill/>
                    <a:ln>
                      <a:noFill/>
                    </a:ln>
                  </pic:spPr>
                </pic:pic>
              </a:graphicData>
            </a:graphic>
          </wp:inline>
        </w:drawing>
      </w:r>
    </w:p>
    <w:p w14:paraId="6007A938" w14:textId="3EDBD48E" w:rsidR="009F2364" w:rsidRDefault="009F2364" w:rsidP="009F2364">
      <w:pPr>
        <w:pStyle w:val="Caption"/>
        <w:jc w:val="both"/>
      </w:pPr>
      <w:bookmarkStart w:id="5" w:name="_Ref465865370"/>
      <w:r>
        <w:t xml:space="preserve">Figure </w:t>
      </w:r>
      <w:r w:rsidR="00D77F56">
        <w:fldChar w:fldCharType="begin"/>
      </w:r>
      <w:r w:rsidR="00D77F56">
        <w:instrText xml:space="preserve"> SEQ Figure \* ARABIC </w:instrText>
      </w:r>
      <w:r w:rsidR="00D77F56">
        <w:fldChar w:fldCharType="separate"/>
      </w:r>
      <w:r>
        <w:rPr>
          <w:noProof/>
        </w:rPr>
        <w:t>1</w:t>
      </w:r>
      <w:r w:rsidR="00D77F56">
        <w:rPr>
          <w:noProof/>
        </w:rPr>
        <w:fldChar w:fldCharType="end"/>
      </w:r>
      <w:bookmarkEnd w:id="5"/>
      <w:r>
        <w:t>: Multiplexing of short UCI and uplink data.</w:t>
      </w:r>
    </w:p>
    <w:p w14:paraId="6C34731C" w14:textId="6D8D306C" w:rsidR="00DA7D33" w:rsidRDefault="00DA7D33" w:rsidP="00DA7D33">
      <w:pPr>
        <w:pStyle w:val="Heading1"/>
        <w:spacing w:before="180"/>
        <w:ind w:left="562" w:hanging="562"/>
      </w:pPr>
      <w:r>
        <w:t>Conclusion</w:t>
      </w:r>
    </w:p>
    <w:p w14:paraId="0ACA1F6D" w14:textId="116EEAFE" w:rsidR="006D0BDF" w:rsidRDefault="006D0BDF" w:rsidP="006D0BDF">
      <w:pPr>
        <w:pStyle w:val="BodyText"/>
        <w:numPr>
          <w:ilvl w:val="0"/>
          <w:numId w:val="28"/>
        </w:numPr>
      </w:pPr>
      <w:r>
        <w:t xml:space="preserve">Short UCI is transmitted in a configurable ‘UCI </w:t>
      </w:r>
      <w:r w:rsidR="00066477">
        <w:t>region</w:t>
      </w:r>
      <w:r>
        <w:t>’ in the last OFDM symbol of a slot.</w:t>
      </w:r>
    </w:p>
    <w:p w14:paraId="5C877FF7" w14:textId="724503C2" w:rsidR="006D0BDF" w:rsidRDefault="006D0BDF" w:rsidP="006D0BDF">
      <w:pPr>
        <w:pStyle w:val="BodyText"/>
        <w:numPr>
          <w:ilvl w:val="1"/>
          <w:numId w:val="28"/>
        </w:numPr>
      </w:pPr>
      <w:r>
        <w:t xml:space="preserve">Multiple UEs may share the same ‘UCI </w:t>
      </w:r>
      <w:r w:rsidR="00066477">
        <w:t>region</w:t>
      </w:r>
      <w:r>
        <w:t>’</w:t>
      </w:r>
    </w:p>
    <w:p w14:paraId="50F59524" w14:textId="5472266B" w:rsidR="006D0BDF" w:rsidRPr="006D0BDF" w:rsidRDefault="006D0BDF" w:rsidP="006D0BDF">
      <w:pPr>
        <w:pStyle w:val="BodyText"/>
        <w:numPr>
          <w:ilvl w:val="0"/>
          <w:numId w:val="28"/>
        </w:numPr>
      </w:pPr>
      <w:r>
        <w:t>Uplink data can be scheduled using the last OFDM symbol in a slot</w:t>
      </w:r>
    </w:p>
    <w:sectPr w:rsidR="006D0BDF" w:rsidRPr="006D0BDF" w:rsidSect="00C6289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Robert Baldemair" w:date="2016-11-04T15:46:00Z" w:initials="RB">
    <w:p w14:paraId="099D0491" w14:textId="6D75ED09" w:rsidR="00D77F56" w:rsidRDefault="00D77F56">
      <w:pPr>
        <w:pStyle w:val="CommentText"/>
      </w:pPr>
      <w:r>
        <w:rPr>
          <w:rStyle w:val="CommentReference"/>
        </w:rPr>
        <w:annotationRef/>
      </w:r>
      <w:r>
        <w:t>A bit unclear. I think you m</w:t>
      </w:r>
      <w:bookmarkStart w:id="4" w:name="_GoBack"/>
      <w:bookmarkEnd w:id="4"/>
      <w:r>
        <w:t>ean it can be scheduled like a regular UL transmission. But if at the end of a DL heavy slot, then it is only one or two symbols.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9D049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445612"/>
    <w:multiLevelType w:val="hybridMultilevel"/>
    <w:tmpl w:val="8F8A0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AB1721"/>
    <w:multiLevelType w:val="hybridMultilevel"/>
    <w:tmpl w:val="F676A046"/>
    <w:lvl w:ilvl="0" w:tplc="1C540EBA">
      <w:start w:val="1"/>
      <w:numFmt w:val="bullet"/>
      <w:lvlText w:val="•"/>
      <w:lvlJc w:val="left"/>
      <w:pPr>
        <w:tabs>
          <w:tab w:val="num" w:pos="1080"/>
        </w:tabs>
        <w:ind w:left="1080" w:hanging="360"/>
      </w:pPr>
      <w:rPr>
        <w:rFonts w:ascii="Arial" w:hAnsi="Arial" w:hint="default"/>
      </w:rPr>
    </w:lvl>
    <w:lvl w:ilvl="1" w:tplc="420089C2">
      <w:start w:val="2283"/>
      <w:numFmt w:val="bullet"/>
      <w:lvlText w:val="–"/>
      <w:lvlJc w:val="left"/>
      <w:pPr>
        <w:tabs>
          <w:tab w:val="num" w:pos="1800"/>
        </w:tabs>
        <w:ind w:left="1800" w:hanging="360"/>
      </w:pPr>
      <w:rPr>
        <w:rFonts w:ascii="Arial" w:hAnsi="Arial" w:hint="default"/>
      </w:rPr>
    </w:lvl>
    <w:lvl w:ilvl="2" w:tplc="7CEA9CD4">
      <w:start w:val="2283"/>
      <w:numFmt w:val="bullet"/>
      <w:lvlText w:val="•"/>
      <w:lvlJc w:val="left"/>
      <w:pPr>
        <w:tabs>
          <w:tab w:val="num" w:pos="2520"/>
        </w:tabs>
        <w:ind w:left="2520" w:hanging="360"/>
      </w:pPr>
      <w:rPr>
        <w:rFonts w:ascii="Arial" w:hAnsi="Arial" w:hint="default"/>
      </w:rPr>
    </w:lvl>
    <w:lvl w:ilvl="3" w:tplc="0A7A6DF8">
      <w:start w:val="1"/>
      <w:numFmt w:val="bullet"/>
      <w:lvlText w:val="•"/>
      <w:lvlJc w:val="left"/>
      <w:pPr>
        <w:tabs>
          <w:tab w:val="num" w:pos="3240"/>
        </w:tabs>
        <w:ind w:left="3240" w:hanging="360"/>
      </w:pPr>
      <w:rPr>
        <w:rFonts w:ascii="Arial" w:hAnsi="Arial" w:hint="default"/>
      </w:rPr>
    </w:lvl>
    <w:lvl w:ilvl="4" w:tplc="3F004DE2" w:tentative="1">
      <w:start w:val="1"/>
      <w:numFmt w:val="bullet"/>
      <w:lvlText w:val="•"/>
      <w:lvlJc w:val="left"/>
      <w:pPr>
        <w:tabs>
          <w:tab w:val="num" w:pos="3960"/>
        </w:tabs>
        <w:ind w:left="3960" w:hanging="360"/>
      </w:pPr>
      <w:rPr>
        <w:rFonts w:ascii="Arial" w:hAnsi="Arial" w:hint="default"/>
      </w:rPr>
    </w:lvl>
    <w:lvl w:ilvl="5" w:tplc="3FA2755C" w:tentative="1">
      <w:start w:val="1"/>
      <w:numFmt w:val="bullet"/>
      <w:lvlText w:val="•"/>
      <w:lvlJc w:val="left"/>
      <w:pPr>
        <w:tabs>
          <w:tab w:val="num" w:pos="4680"/>
        </w:tabs>
        <w:ind w:left="4680" w:hanging="360"/>
      </w:pPr>
      <w:rPr>
        <w:rFonts w:ascii="Arial" w:hAnsi="Arial" w:hint="default"/>
      </w:rPr>
    </w:lvl>
    <w:lvl w:ilvl="6" w:tplc="AD226188" w:tentative="1">
      <w:start w:val="1"/>
      <w:numFmt w:val="bullet"/>
      <w:lvlText w:val="•"/>
      <w:lvlJc w:val="left"/>
      <w:pPr>
        <w:tabs>
          <w:tab w:val="num" w:pos="5400"/>
        </w:tabs>
        <w:ind w:left="5400" w:hanging="360"/>
      </w:pPr>
      <w:rPr>
        <w:rFonts w:ascii="Arial" w:hAnsi="Arial" w:hint="default"/>
      </w:rPr>
    </w:lvl>
    <w:lvl w:ilvl="7" w:tplc="3DD8D60A" w:tentative="1">
      <w:start w:val="1"/>
      <w:numFmt w:val="bullet"/>
      <w:lvlText w:val="•"/>
      <w:lvlJc w:val="left"/>
      <w:pPr>
        <w:tabs>
          <w:tab w:val="num" w:pos="6120"/>
        </w:tabs>
        <w:ind w:left="6120" w:hanging="360"/>
      </w:pPr>
      <w:rPr>
        <w:rFonts w:ascii="Arial" w:hAnsi="Arial" w:hint="default"/>
      </w:rPr>
    </w:lvl>
    <w:lvl w:ilvl="8" w:tplc="F77C0914"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0"/>
  </w:num>
  <w:num w:numId="4">
    <w:abstractNumId w:val="24"/>
  </w:num>
  <w:num w:numId="5">
    <w:abstractNumId w:val="21"/>
  </w:num>
  <w:num w:numId="6">
    <w:abstractNumId w:val="18"/>
  </w:num>
  <w:num w:numId="7">
    <w:abstractNumId w:val="23"/>
  </w:num>
  <w:num w:numId="8">
    <w:abstractNumId w:val="22"/>
  </w:num>
  <w:num w:numId="9">
    <w:abstractNumId w:val="7"/>
  </w:num>
  <w:num w:numId="10">
    <w:abstractNumId w:val="2"/>
  </w:num>
  <w:num w:numId="11">
    <w:abstractNumId w:val="14"/>
  </w:num>
  <w:num w:numId="12">
    <w:abstractNumId w:val="25"/>
  </w:num>
  <w:num w:numId="13">
    <w:abstractNumId w:val="1"/>
  </w:num>
  <w:num w:numId="14">
    <w:abstractNumId w:val="3"/>
  </w:num>
  <w:num w:numId="15">
    <w:abstractNumId w:val="10"/>
  </w:num>
  <w:num w:numId="16">
    <w:abstractNumId w:val="4"/>
  </w:num>
  <w:num w:numId="17">
    <w:abstractNumId w:val="24"/>
  </w:num>
  <w:num w:numId="18">
    <w:abstractNumId w:val="13"/>
  </w:num>
  <w:num w:numId="19">
    <w:abstractNumId w:val="19"/>
  </w:num>
  <w:num w:numId="20">
    <w:abstractNumId w:val="6"/>
  </w:num>
  <w:num w:numId="21">
    <w:abstractNumId w:val="5"/>
  </w:num>
  <w:num w:numId="22">
    <w:abstractNumId w:val="20"/>
  </w:num>
  <w:num w:numId="23">
    <w:abstractNumId w:val="9"/>
  </w:num>
  <w:num w:numId="24">
    <w:abstractNumId w:val="8"/>
  </w:num>
  <w:num w:numId="25">
    <w:abstractNumId w:val="11"/>
  </w:num>
  <w:num w:numId="26">
    <w:abstractNumId w:val="17"/>
  </w:num>
  <w:num w:numId="27">
    <w:abstractNumId w:val="16"/>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Baldemair">
    <w15:presenceInfo w15:providerId="AD" w15:userId="S-1-5-21-1538607324-3213881460-940295383-489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208D5"/>
    <w:rsid w:val="00024F13"/>
    <w:rsid w:val="00060F67"/>
    <w:rsid w:val="00066477"/>
    <w:rsid w:val="0009128F"/>
    <w:rsid w:val="00106ABF"/>
    <w:rsid w:val="00116505"/>
    <w:rsid w:val="001B243C"/>
    <w:rsid w:val="001F0CAF"/>
    <w:rsid w:val="00213303"/>
    <w:rsid w:val="0022072F"/>
    <w:rsid w:val="00230310"/>
    <w:rsid w:val="00247FAB"/>
    <w:rsid w:val="0028065B"/>
    <w:rsid w:val="00286B6D"/>
    <w:rsid w:val="002E444B"/>
    <w:rsid w:val="0034475B"/>
    <w:rsid w:val="003764A0"/>
    <w:rsid w:val="00401FC3"/>
    <w:rsid w:val="00434CD6"/>
    <w:rsid w:val="0048093F"/>
    <w:rsid w:val="0049799A"/>
    <w:rsid w:val="004B1C8B"/>
    <w:rsid w:val="0052140E"/>
    <w:rsid w:val="00546EB1"/>
    <w:rsid w:val="005514B5"/>
    <w:rsid w:val="005838EA"/>
    <w:rsid w:val="005B07BD"/>
    <w:rsid w:val="005B2815"/>
    <w:rsid w:val="00627565"/>
    <w:rsid w:val="006725E4"/>
    <w:rsid w:val="006A286A"/>
    <w:rsid w:val="006B1453"/>
    <w:rsid w:val="006B481E"/>
    <w:rsid w:val="006D0BDF"/>
    <w:rsid w:val="006D4A4B"/>
    <w:rsid w:val="00712A5D"/>
    <w:rsid w:val="00797488"/>
    <w:rsid w:val="007C7533"/>
    <w:rsid w:val="008A0342"/>
    <w:rsid w:val="008B65A9"/>
    <w:rsid w:val="008D5332"/>
    <w:rsid w:val="00916E30"/>
    <w:rsid w:val="00924E96"/>
    <w:rsid w:val="00942F98"/>
    <w:rsid w:val="00952189"/>
    <w:rsid w:val="009A0611"/>
    <w:rsid w:val="009E46CD"/>
    <w:rsid w:val="009F2364"/>
    <w:rsid w:val="00A057EA"/>
    <w:rsid w:val="00AC1F7D"/>
    <w:rsid w:val="00B03ED8"/>
    <w:rsid w:val="00B368D9"/>
    <w:rsid w:val="00BA4CC0"/>
    <w:rsid w:val="00BB2430"/>
    <w:rsid w:val="00BB7B54"/>
    <w:rsid w:val="00BC0FFC"/>
    <w:rsid w:val="00BE4063"/>
    <w:rsid w:val="00C1560A"/>
    <w:rsid w:val="00C62894"/>
    <w:rsid w:val="00C8496C"/>
    <w:rsid w:val="00CA5E5D"/>
    <w:rsid w:val="00CB5A40"/>
    <w:rsid w:val="00CC1CA7"/>
    <w:rsid w:val="00CC260C"/>
    <w:rsid w:val="00CE6CB0"/>
    <w:rsid w:val="00D03072"/>
    <w:rsid w:val="00D03E47"/>
    <w:rsid w:val="00D2105C"/>
    <w:rsid w:val="00D577BB"/>
    <w:rsid w:val="00D77F56"/>
    <w:rsid w:val="00D84D5E"/>
    <w:rsid w:val="00DA7D33"/>
    <w:rsid w:val="00DB6F36"/>
    <w:rsid w:val="00DD11CB"/>
    <w:rsid w:val="00DE0D8A"/>
    <w:rsid w:val="00DE1BAA"/>
    <w:rsid w:val="00E10C1F"/>
    <w:rsid w:val="00E20E32"/>
    <w:rsid w:val="00EB26FB"/>
    <w:rsid w:val="00EC06DD"/>
    <w:rsid w:val="00F346B4"/>
    <w:rsid w:val="00F618ED"/>
    <w:rsid w:val="00F81C1C"/>
    <w:rsid w:val="00F92325"/>
    <w:rsid w:val="00F92540"/>
    <w:rsid w:val="00FE1148"/>
    <w:rsid w:val="00FE1A9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D1CC2-30CE-418C-BA5B-2557ABB83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Robert Baldemair</cp:lastModifiedBy>
  <cp:revision>3</cp:revision>
  <dcterms:created xsi:type="dcterms:W3CDTF">2016-11-04T12:48:00Z</dcterms:created>
  <dcterms:modified xsi:type="dcterms:W3CDTF">2016-11-04T14:48:00Z</dcterms:modified>
</cp:coreProperties>
</file>